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C96010" w:rsidRDefault="00C96010" w:rsidP="00C96010">
      <w:pPr>
        <w:spacing w:before="120" w:after="120" w:line="240" w:lineRule="auto"/>
        <w:jc w:val="center"/>
        <w:rPr>
          <w:rFonts w:ascii="Times New Roman" w:hAnsi="Times New Roman" w:cs="Times New Roman"/>
          <w:b/>
          <w:sz w:val="28"/>
          <w:u w:val="single"/>
        </w:rPr>
      </w:pPr>
      <w:r w:rsidRPr="00C96010">
        <w:rPr>
          <w:rFonts w:ascii="Times New Roman" w:hAnsi="Times New Roman" w:cs="Times New Roman"/>
          <w:b/>
          <w:sz w:val="28"/>
          <w:u w:val="single"/>
        </w:rPr>
        <w:t>SYLLABUS</w:t>
      </w:r>
    </w:p>
    <w:p w:rsidR="00C96010" w:rsidRDefault="00C96010" w:rsidP="00C96010">
      <w:pPr>
        <w:autoSpaceDE w:val="0"/>
        <w:autoSpaceDN w:val="0"/>
        <w:adjustRightInd w:val="0"/>
        <w:spacing w:before="120" w:after="120" w:line="240" w:lineRule="auto"/>
        <w:jc w:val="center"/>
        <w:rPr>
          <w:rFonts w:ascii="Times New Roman" w:hAnsi="Times New Roman" w:cs="Times New Roman"/>
          <w:b/>
          <w:sz w:val="28"/>
          <w:u w:val="single"/>
        </w:rPr>
      </w:pPr>
      <w:r w:rsidRPr="00C96010">
        <w:rPr>
          <w:rFonts w:ascii="Times New Roman" w:hAnsi="Times New Roman" w:cs="Times New Roman"/>
          <w:b/>
          <w:sz w:val="28"/>
          <w:u w:val="single"/>
        </w:rPr>
        <w:t>NBT-702 BIOSAFETY, BIOETHICS, IPR &amp; PATENTS</w:t>
      </w:r>
    </w:p>
    <w:p w:rsidR="00C96010" w:rsidRPr="00C96010" w:rsidRDefault="00C96010" w:rsidP="00C96010">
      <w:pPr>
        <w:autoSpaceDE w:val="0"/>
        <w:autoSpaceDN w:val="0"/>
        <w:adjustRightInd w:val="0"/>
        <w:spacing w:before="120" w:after="120" w:line="240" w:lineRule="auto"/>
        <w:jc w:val="center"/>
        <w:rPr>
          <w:rFonts w:ascii="Times New Roman" w:hAnsi="Times New Roman" w:cs="Times New Roman"/>
          <w:b/>
          <w:sz w:val="28"/>
          <w:u w:val="single"/>
        </w:rPr>
      </w:pPr>
    </w:p>
    <w:p w:rsidR="00C96010" w:rsidRPr="00C96010" w:rsidRDefault="00C96010" w:rsidP="00C96010">
      <w:pPr>
        <w:autoSpaceDE w:val="0"/>
        <w:autoSpaceDN w:val="0"/>
        <w:adjustRightInd w:val="0"/>
        <w:spacing w:before="120" w:after="120" w:line="240" w:lineRule="auto"/>
        <w:jc w:val="both"/>
        <w:rPr>
          <w:rFonts w:ascii="Times New Roman" w:hAnsi="Times New Roman" w:cs="Times New Roman"/>
          <w:b/>
          <w:sz w:val="24"/>
        </w:rPr>
      </w:pPr>
      <w:r w:rsidRPr="00C96010">
        <w:rPr>
          <w:rFonts w:ascii="Times New Roman" w:hAnsi="Times New Roman" w:cs="Times New Roman"/>
          <w:b/>
          <w:sz w:val="24"/>
        </w:rPr>
        <w:t>Unit 1: BIOSAFETY-REGULATORY FRAMEWORK FOR GMOS IN INDIA</w:t>
      </w:r>
    </w:p>
    <w:p w:rsidR="00C96010" w:rsidRPr="00C96010" w:rsidRDefault="00C96010" w:rsidP="00C96010">
      <w:pPr>
        <w:autoSpaceDE w:val="0"/>
        <w:autoSpaceDN w:val="0"/>
        <w:adjustRightInd w:val="0"/>
        <w:spacing w:before="120" w:after="120" w:line="240" w:lineRule="auto"/>
        <w:jc w:val="both"/>
        <w:rPr>
          <w:rFonts w:ascii="Times New Roman" w:hAnsi="Times New Roman" w:cs="Times New Roman"/>
          <w:sz w:val="24"/>
        </w:rPr>
      </w:pPr>
      <w:r w:rsidRPr="00C96010">
        <w:rPr>
          <w:rFonts w:ascii="Times New Roman" w:hAnsi="Times New Roman" w:cs="Times New Roman"/>
          <w:sz w:val="24"/>
        </w:rPr>
        <w:t>Regulatory framework in India governing GMOs-Recombinant DNA Advisory Committee (RDAC), Institutional Biosafety Committee (IBC), Review Committee on Genetic Manipulation, Genetic Engineering Approval Committee (GEAC), State Biosafety Coordination Committee (SBCC), District Level Committee (DLC). Recombinant DNA Guidelines (1990), Revised Guidelines for Research in Transgenic Plants (1998), Seed Policy (2002), Prevention Food Adulteration Act (1955), The Food Safety and Standards Bill (2005), Plant Quarantine Order (2003), Regulation for Import of GM Products Under Foreign Trade Policy (2006-2007), National Environment Policy (2006). Rules for the manufacture, use/import/export and storage of hazardous microorganisms/genetically engineered organisms or cells (Ministry of Environment and Forests Notification, (1989).</w:t>
      </w:r>
    </w:p>
    <w:p w:rsidR="00C96010" w:rsidRPr="00C96010" w:rsidRDefault="00C96010" w:rsidP="00C96010">
      <w:pPr>
        <w:autoSpaceDE w:val="0"/>
        <w:autoSpaceDN w:val="0"/>
        <w:adjustRightInd w:val="0"/>
        <w:spacing w:before="120" w:after="120" w:line="240" w:lineRule="auto"/>
        <w:jc w:val="both"/>
        <w:rPr>
          <w:rFonts w:ascii="Times New Roman" w:hAnsi="Times New Roman" w:cs="Times New Roman"/>
          <w:b/>
          <w:sz w:val="24"/>
        </w:rPr>
      </w:pPr>
      <w:r w:rsidRPr="00C96010">
        <w:rPr>
          <w:rFonts w:ascii="Times New Roman" w:hAnsi="Times New Roman" w:cs="Times New Roman"/>
          <w:b/>
          <w:sz w:val="24"/>
        </w:rPr>
        <w:t>Unit 2: BIOSAFETY-REGULATORY FRAMEWORK FOR GMOS AT INTERNATIONAL LEVEL</w:t>
      </w:r>
    </w:p>
    <w:p w:rsidR="00C96010" w:rsidRPr="00C96010" w:rsidRDefault="00C96010" w:rsidP="00C96010">
      <w:pPr>
        <w:autoSpaceDE w:val="0"/>
        <w:autoSpaceDN w:val="0"/>
        <w:adjustRightInd w:val="0"/>
        <w:spacing w:before="120" w:after="120" w:line="240" w:lineRule="auto"/>
        <w:jc w:val="both"/>
        <w:rPr>
          <w:rFonts w:ascii="Times New Roman" w:hAnsi="Times New Roman" w:cs="Times New Roman"/>
          <w:sz w:val="24"/>
        </w:rPr>
      </w:pPr>
      <w:r w:rsidRPr="00C96010">
        <w:rPr>
          <w:rFonts w:ascii="Times New Roman" w:hAnsi="Times New Roman" w:cs="Times New Roman"/>
          <w:sz w:val="24"/>
        </w:rPr>
        <w:t>Convention of Biological Diversity (1992) – Cartagena Protocol on Biosafety – Objectives and salient features of Cartagena Protocol – Advanced Information Agreement (AIA) procedure – procedures for GMOs intended for direct use-risk assessment-risk management-handling, transport, packaging and identification of GMOs- Biosafety Clearing House-unintentional transboundary movement of GMOs-Benefits of becoming a party to the Cartagena Protocol- status of implementation in India.</w:t>
      </w:r>
    </w:p>
    <w:p w:rsidR="00C96010" w:rsidRPr="00C96010" w:rsidRDefault="00C96010" w:rsidP="00C96010">
      <w:pPr>
        <w:autoSpaceDE w:val="0"/>
        <w:autoSpaceDN w:val="0"/>
        <w:adjustRightInd w:val="0"/>
        <w:spacing w:before="120" w:after="120" w:line="240" w:lineRule="auto"/>
        <w:jc w:val="both"/>
        <w:rPr>
          <w:rFonts w:ascii="Times New Roman" w:hAnsi="Times New Roman" w:cs="Times New Roman"/>
          <w:sz w:val="24"/>
        </w:rPr>
      </w:pPr>
      <w:r w:rsidRPr="00C96010">
        <w:rPr>
          <w:rFonts w:ascii="Times New Roman" w:hAnsi="Times New Roman" w:cs="Times New Roman"/>
          <w:b/>
          <w:sz w:val="24"/>
        </w:rPr>
        <w:t>Unit</w:t>
      </w:r>
      <w:r w:rsidR="0070123E">
        <w:rPr>
          <w:rFonts w:ascii="Times New Roman" w:hAnsi="Times New Roman" w:cs="Times New Roman"/>
          <w:b/>
          <w:sz w:val="24"/>
        </w:rPr>
        <w:t xml:space="preserve"> </w:t>
      </w:r>
      <w:r w:rsidRPr="00C96010">
        <w:rPr>
          <w:rFonts w:ascii="Times New Roman" w:hAnsi="Times New Roman" w:cs="Times New Roman"/>
          <w:b/>
          <w:sz w:val="24"/>
        </w:rPr>
        <w:t>3: BIOETHICS</w:t>
      </w:r>
      <w:r w:rsidRPr="00C96010">
        <w:rPr>
          <w:rFonts w:ascii="Times New Roman" w:hAnsi="Times New Roman" w:cs="Times New Roman"/>
          <w:sz w:val="24"/>
        </w:rPr>
        <w:t xml:space="preserve"> </w:t>
      </w:r>
    </w:p>
    <w:p w:rsidR="00C96010" w:rsidRPr="00C96010" w:rsidRDefault="00C96010" w:rsidP="00C96010">
      <w:pPr>
        <w:autoSpaceDE w:val="0"/>
        <w:autoSpaceDN w:val="0"/>
        <w:adjustRightInd w:val="0"/>
        <w:spacing w:before="120" w:after="120" w:line="240" w:lineRule="auto"/>
        <w:jc w:val="both"/>
        <w:rPr>
          <w:rFonts w:ascii="Times New Roman" w:hAnsi="Times New Roman" w:cs="Times New Roman"/>
          <w:sz w:val="24"/>
        </w:rPr>
      </w:pPr>
      <w:r w:rsidRPr="00C96010">
        <w:rPr>
          <w:rFonts w:ascii="Times New Roman" w:hAnsi="Times New Roman" w:cs="Times New Roman"/>
          <w:sz w:val="24"/>
        </w:rPr>
        <w:t>Distinction among various forms of IPR, ,Prior art for a patent, Patenting live microorganism, Human Genome project and ethical issues, Animal cloning, human cloning and their ethical issues, Experimenting on animals. Public education of producing transgenic organism, legal and socioeconomic impacts of biotechnology, testing drugs on human volunteers, Hazardous materials used in biotechnology, their handling and disposal.</w:t>
      </w:r>
    </w:p>
    <w:p w:rsidR="00C96010" w:rsidRPr="00C96010" w:rsidRDefault="00C96010" w:rsidP="00C96010">
      <w:pPr>
        <w:autoSpaceDE w:val="0"/>
        <w:autoSpaceDN w:val="0"/>
        <w:adjustRightInd w:val="0"/>
        <w:spacing w:before="120" w:after="120" w:line="240" w:lineRule="auto"/>
        <w:jc w:val="both"/>
        <w:rPr>
          <w:rFonts w:ascii="Times New Roman" w:hAnsi="Times New Roman" w:cs="Times New Roman"/>
          <w:b/>
          <w:sz w:val="24"/>
        </w:rPr>
      </w:pPr>
      <w:r w:rsidRPr="00C96010">
        <w:rPr>
          <w:rFonts w:ascii="Times New Roman" w:hAnsi="Times New Roman" w:cs="Times New Roman"/>
          <w:b/>
          <w:sz w:val="24"/>
        </w:rPr>
        <w:t>Unit 4: INTELLECTUAL PROPERTY RIGHTS</w:t>
      </w:r>
    </w:p>
    <w:p w:rsidR="00C96010" w:rsidRPr="00C96010" w:rsidRDefault="00C96010" w:rsidP="00C96010">
      <w:pPr>
        <w:autoSpaceDE w:val="0"/>
        <w:autoSpaceDN w:val="0"/>
        <w:adjustRightInd w:val="0"/>
        <w:spacing w:before="120" w:after="120" w:line="240" w:lineRule="auto"/>
        <w:jc w:val="both"/>
        <w:rPr>
          <w:rFonts w:ascii="Times New Roman" w:hAnsi="Times New Roman" w:cs="Times New Roman"/>
          <w:sz w:val="24"/>
        </w:rPr>
      </w:pPr>
      <w:r w:rsidRPr="00C96010">
        <w:rPr>
          <w:rFonts w:ascii="Times New Roman" w:hAnsi="Times New Roman" w:cs="Times New Roman"/>
          <w:sz w:val="24"/>
        </w:rPr>
        <w:t>Concept of property, rights, duties and Jurisprudential definition, Introduction to patent, copy right, trademarks, Design, geographical indication. History and evolution of IPR, Economic importance of IPR, Indian patent act 1970 (amendment 2000), Distinction among various forms of IPR, invention step, biopiracry and bioprospecting- Appropriate case studies. Infringement/violation of patent, remedies against infringement (civil, criminal, administrative)</w:t>
      </w:r>
    </w:p>
    <w:p w:rsidR="00C96010" w:rsidRPr="00C96010" w:rsidRDefault="00C96010" w:rsidP="00C96010">
      <w:pPr>
        <w:autoSpaceDE w:val="0"/>
        <w:autoSpaceDN w:val="0"/>
        <w:adjustRightInd w:val="0"/>
        <w:spacing w:before="120" w:after="120" w:line="240" w:lineRule="auto"/>
        <w:jc w:val="both"/>
        <w:rPr>
          <w:rFonts w:ascii="Times New Roman" w:hAnsi="Times New Roman" w:cs="Times New Roman"/>
          <w:b/>
          <w:sz w:val="24"/>
        </w:rPr>
      </w:pPr>
      <w:r w:rsidRPr="00C96010">
        <w:rPr>
          <w:rFonts w:ascii="Times New Roman" w:hAnsi="Times New Roman" w:cs="Times New Roman"/>
          <w:b/>
          <w:sz w:val="24"/>
        </w:rPr>
        <w:t xml:space="preserve">Unit 5: PATENTS AND PATENT LAWS </w:t>
      </w:r>
    </w:p>
    <w:p w:rsidR="00C96010" w:rsidRPr="00C96010" w:rsidRDefault="00C96010" w:rsidP="00C96010">
      <w:pPr>
        <w:spacing w:before="120" w:after="120" w:line="240" w:lineRule="auto"/>
        <w:rPr>
          <w:rFonts w:ascii="Times New Roman" w:hAnsi="Times New Roman" w:cs="Times New Roman"/>
          <w:sz w:val="24"/>
        </w:rPr>
      </w:pPr>
      <w:r w:rsidRPr="00C96010">
        <w:rPr>
          <w:rFonts w:ascii="Times New Roman" w:hAnsi="Times New Roman" w:cs="Times New Roman"/>
          <w:sz w:val="24"/>
        </w:rPr>
        <w:t>Plant and Animal growers rights patents trade secrets, and plant genetic recourses GATT and TRIPS, Dunkels Draft Patenting of biological materials, Current Issues of Patents for higher animal and higher plants, patenting of transgenic organisms, isolated genes and DNA sequences.</w:t>
      </w:r>
    </w:p>
    <w:sectPr w:rsidR="00C96010" w:rsidRPr="00C96010" w:rsidSect="00C96010">
      <w:pgSz w:w="11906" w:h="16838"/>
      <w:pgMar w:top="1440"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96010"/>
    <w:rsid w:val="0070123E"/>
    <w:rsid w:val="00C9601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dc:description/>
  <cp:lastModifiedBy>Faculty</cp:lastModifiedBy>
  <cp:revision>3</cp:revision>
  <dcterms:created xsi:type="dcterms:W3CDTF">2018-07-16T04:26:00Z</dcterms:created>
  <dcterms:modified xsi:type="dcterms:W3CDTF">2018-07-16T04:27:00Z</dcterms:modified>
</cp:coreProperties>
</file>